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1" w:rsidRPr="001D7B5D" w:rsidRDefault="00CB6B51" w:rsidP="00CB6B51">
      <w:pPr>
        <w:pStyle w:val="a4"/>
        <w:spacing w:line="240" w:lineRule="auto"/>
        <w:jc w:val="center"/>
        <w:rPr>
          <w:rFonts w:eastAsia="宋体"/>
          <w:spacing w:val="0"/>
          <w:kern w:val="20"/>
          <w:sz w:val="84"/>
          <w:szCs w:val="84"/>
        </w:rPr>
      </w:pPr>
    </w:p>
    <w:p w:rsidR="00C46051" w:rsidRPr="001D7B5D" w:rsidRDefault="00C46051" w:rsidP="00C46051">
      <w:pPr>
        <w:spacing w:line="580" w:lineRule="exact"/>
        <w:ind w:firstLineChars="892" w:firstLine="3940"/>
        <w:rPr>
          <w:rFonts w:ascii="黑体" w:eastAsia="黑体" w:hAnsi="宋体"/>
          <w:b/>
          <w:sz w:val="44"/>
          <w:szCs w:val="44"/>
        </w:rPr>
      </w:pPr>
      <w:r w:rsidRPr="001D7B5D">
        <w:rPr>
          <w:rFonts w:ascii="黑体" w:eastAsia="黑体" w:hAnsi="宋体" w:hint="eastAsia"/>
          <w:b/>
          <w:sz w:val="44"/>
          <w:szCs w:val="44"/>
        </w:rPr>
        <w:t xml:space="preserve">搬 迁 协 议 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sz w:val="44"/>
          <w:szCs w:val="44"/>
        </w:rPr>
      </w:pPr>
    </w:p>
    <w:p w:rsidR="00C46051" w:rsidRPr="007A0308" w:rsidRDefault="00C46051" w:rsidP="00C46051">
      <w:pPr>
        <w:spacing w:line="580" w:lineRule="exact"/>
        <w:rPr>
          <w:rFonts w:ascii="宋体" w:hAnsi="宋体"/>
          <w:sz w:val="24"/>
        </w:rPr>
      </w:pPr>
      <w:r w:rsidRPr="007A0308">
        <w:rPr>
          <w:rFonts w:ascii="宋体" w:hAnsi="宋体" w:hint="eastAsia"/>
          <w:sz w:val="24"/>
        </w:rPr>
        <w:t>转让方：</w:t>
      </w:r>
      <w:r w:rsidR="00C97A11" w:rsidRPr="005810D1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</w:rPr>
        <w:t>南宁轨道交通集团有限责任公司</w:t>
      </w:r>
      <w:r w:rsidR="00CB5E8E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 xml:space="preserve">  </w:t>
      </w:r>
      <w:r w:rsidR="00DF3BDE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 xml:space="preserve"> </w:t>
      </w:r>
      <w:r w:rsidR="00C97A11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 xml:space="preserve">  </w:t>
      </w:r>
      <w:r w:rsidRPr="007A0308">
        <w:rPr>
          <w:rFonts w:ascii="宋体" w:hAnsi="宋体" w:hint="eastAsia"/>
          <w:sz w:val="24"/>
        </w:rPr>
        <w:t>（甲方）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7A0308">
        <w:rPr>
          <w:rFonts w:ascii="宋体" w:hAnsi="宋体" w:hint="eastAsia"/>
          <w:sz w:val="24"/>
        </w:rPr>
        <w:t>受让方：</w:t>
      </w:r>
      <w:r w:rsidR="00C610E6">
        <w:rPr>
          <w:rFonts w:ascii="宋体" w:hAnsi="宋体" w:hint="eastAsia"/>
          <w:color w:val="000000"/>
          <w:sz w:val="24"/>
        </w:rPr>
        <w:t xml:space="preserve">      </w:t>
      </w:r>
      <w:r w:rsidRPr="007A0308">
        <w:rPr>
          <w:rFonts w:ascii="宋体" w:hAnsi="宋体" w:hint="eastAsia"/>
          <w:sz w:val="24"/>
        </w:rPr>
        <w:t xml:space="preserve">            </w:t>
      </w:r>
      <w:r w:rsidR="00331107">
        <w:rPr>
          <w:rFonts w:ascii="宋体" w:hAnsi="宋体" w:hint="eastAsia"/>
          <w:sz w:val="24"/>
        </w:rPr>
        <w:t xml:space="preserve">   </w:t>
      </w:r>
      <w:r w:rsidR="00334003">
        <w:rPr>
          <w:rFonts w:ascii="宋体" w:hAnsi="宋体" w:hint="eastAsia"/>
          <w:sz w:val="24"/>
        </w:rPr>
        <w:t xml:space="preserve">            </w:t>
      </w:r>
      <w:r w:rsidRPr="001D7B5D">
        <w:rPr>
          <w:rFonts w:ascii="宋体" w:hAnsi="宋体" w:hint="eastAsia"/>
          <w:sz w:val="24"/>
        </w:rPr>
        <w:t>（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方）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根据广西联合产权交易所相关规定，为了明确甲</w:t>
      </w:r>
      <w:r w:rsidRPr="001D7B5D">
        <w:rPr>
          <w:rFonts w:ascii="黑体" w:eastAsia="黑体" w:hAnsi="宋体" w:hint="eastAsia"/>
          <w:sz w:val="24"/>
        </w:rPr>
        <w:t>、</w:t>
      </w:r>
      <w:r w:rsidRPr="001D7B5D">
        <w:rPr>
          <w:rFonts w:ascii="宋体" w:hAnsi="宋体" w:hint="eastAsia"/>
          <w:sz w:val="24"/>
        </w:rPr>
        <w:t>乙</w:t>
      </w:r>
      <w:r w:rsidR="00C97A11">
        <w:rPr>
          <w:rFonts w:ascii="宋体" w:hAnsi="宋体" w:hint="eastAsia"/>
          <w:sz w:val="24"/>
        </w:rPr>
        <w:t>双方</w:t>
      </w:r>
      <w:proofErr w:type="gramStart"/>
      <w:r w:rsidRPr="001D7B5D">
        <w:rPr>
          <w:rFonts w:ascii="宋体" w:hAnsi="宋体" w:hint="eastAsia"/>
          <w:sz w:val="24"/>
        </w:rPr>
        <w:t>方</w:t>
      </w:r>
      <w:proofErr w:type="gramEnd"/>
      <w:r w:rsidRPr="001D7B5D">
        <w:rPr>
          <w:rFonts w:ascii="宋体" w:hAnsi="宋体" w:hint="eastAsia"/>
          <w:sz w:val="24"/>
        </w:rPr>
        <w:t>的权利义务，保证本次搬迁工作的顺利进行，经</w:t>
      </w:r>
      <w:r w:rsidR="00C97A11">
        <w:rPr>
          <w:rFonts w:ascii="宋体" w:hAnsi="宋体" w:hint="eastAsia"/>
          <w:sz w:val="24"/>
        </w:rPr>
        <w:t>双</w:t>
      </w:r>
      <w:r w:rsidRPr="001D7B5D">
        <w:rPr>
          <w:rFonts w:ascii="宋体" w:hAnsi="宋体" w:hint="eastAsia"/>
          <w:sz w:val="24"/>
        </w:rPr>
        <w:t>方协商一致，特订立本协议，供</w:t>
      </w:r>
      <w:r w:rsidR="00C97A11">
        <w:rPr>
          <w:rFonts w:ascii="宋体" w:hAnsi="宋体" w:hint="eastAsia"/>
          <w:sz w:val="24"/>
        </w:rPr>
        <w:t>双</w:t>
      </w:r>
      <w:r w:rsidRPr="001D7B5D">
        <w:rPr>
          <w:rFonts w:ascii="宋体" w:hAnsi="宋体" w:hint="eastAsia"/>
          <w:sz w:val="24"/>
        </w:rPr>
        <w:t xml:space="preserve">方遵守执行。                                                                                                                       </w:t>
      </w:r>
    </w:p>
    <w:p w:rsidR="00C46051" w:rsidRPr="001D7B5D" w:rsidRDefault="00C46051" w:rsidP="00F068EC">
      <w:pPr>
        <w:spacing w:line="580" w:lineRule="exact"/>
        <w:ind w:firstLineChars="200" w:firstLine="482"/>
        <w:rPr>
          <w:rFonts w:ascii="宋体" w:hAnsi="宋体" w:cs="Arial Unicode MS"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一、转让标的情况</w:t>
      </w:r>
    </w:p>
    <w:p w:rsidR="00F068EC" w:rsidRPr="00807A17" w:rsidRDefault="00D10D0C" w:rsidP="004E5CDF">
      <w:pPr>
        <w:spacing w:line="360" w:lineRule="auto"/>
        <w:ind w:firstLineChars="200" w:firstLine="480"/>
        <w:rPr>
          <w:rFonts w:ascii="宋体" w:hAnsi="宋体" w:cs="Arial Unicode MS"/>
          <w:sz w:val="24"/>
        </w:rPr>
      </w:pPr>
      <w:r w:rsidRPr="00D10D0C">
        <w:rPr>
          <w:rFonts w:ascii="宋体" w:hAnsi="宋体" w:cs="Arial Unicode MS" w:hint="eastAsia"/>
          <w:sz w:val="24"/>
        </w:rPr>
        <w:t>本次转让标的</w:t>
      </w:r>
      <w:r w:rsidR="00F068EC">
        <w:rPr>
          <w:rFonts w:ascii="宋体" w:hAnsi="宋体" w:cs="宋体" w:hint="eastAsia"/>
          <w:sz w:val="24"/>
        </w:rPr>
        <w:t xml:space="preserve">为 </w:t>
      </w:r>
      <w:r w:rsidR="00C97A11" w:rsidRPr="00C97A11">
        <w:rPr>
          <w:rFonts w:ascii="宋体" w:hAnsi="宋体" w:cs="宋体" w:hint="eastAsia"/>
          <w:sz w:val="24"/>
          <w:u w:val="single"/>
        </w:rPr>
        <w:t>油浸式变压器、欧式箱变、全绝缘自动化开闭所、户外高压开关柜、10kV电力电缆、电缆保护管、光缆等</w:t>
      </w:r>
      <w:r w:rsidR="00F068EC">
        <w:rPr>
          <w:rFonts w:ascii="宋体" w:hAnsi="宋体" w:cs="宋体" w:hint="eastAsia"/>
          <w:sz w:val="24"/>
        </w:rPr>
        <w:t xml:space="preserve"> </w:t>
      </w:r>
      <w:r w:rsidRPr="00D10D0C">
        <w:rPr>
          <w:rFonts w:ascii="宋体" w:hAnsi="宋体" w:cs="Arial Unicode MS" w:hint="eastAsia"/>
          <w:sz w:val="24"/>
        </w:rPr>
        <w:t>，</w:t>
      </w:r>
      <w:r w:rsidR="00F068EC" w:rsidRPr="00807A17">
        <w:rPr>
          <w:rFonts w:ascii="宋体" w:hAnsi="宋体" w:cs="宋体" w:hint="eastAsia"/>
          <w:sz w:val="24"/>
        </w:rPr>
        <w:t>标的现存放于</w:t>
      </w:r>
      <w:r w:rsidR="00C97A11" w:rsidRPr="00C97A11">
        <w:rPr>
          <w:rFonts w:asciiTheme="minorEastAsia" w:eastAsiaTheme="minorEastAsia" w:hAnsiTheme="minorEastAsia" w:hint="eastAsia"/>
          <w:color w:val="000000" w:themeColor="text1"/>
          <w:sz w:val="24"/>
        </w:rPr>
        <w:t>南宁中车轨道交通装备公司和南宁</w:t>
      </w:r>
      <w:proofErr w:type="gramStart"/>
      <w:r w:rsidR="00C97A11" w:rsidRPr="00C97A11">
        <w:rPr>
          <w:rFonts w:asciiTheme="minorEastAsia" w:eastAsiaTheme="minorEastAsia" w:hAnsiTheme="minorEastAsia" w:hint="eastAsia"/>
          <w:color w:val="000000" w:themeColor="text1"/>
          <w:sz w:val="24"/>
        </w:rPr>
        <w:t>中铁广发</w:t>
      </w:r>
      <w:proofErr w:type="gramEnd"/>
      <w:r w:rsidR="00C97A11" w:rsidRPr="00C97A11">
        <w:rPr>
          <w:rFonts w:asciiTheme="minorEastAsia" w:eastAsiaTheme="minorEastAsia" w:hAnsiTheme="minorEastAsia" w:hint="eastAsia"/>
          <w:color w:val="000000" w:themeColor="text1"/>
          <w:sz w:val="24"/>
        </w:rPr>
        <w:t>轨道装备有限公司露天场地。</w:t>
      </w:r>
      <w:r w:rsidR="00F068EC" w:rsidRPr="00807A17">
        <w:rPr>
          <w:rFonts w:ascii="宋体" w:hAnsi="宋体" w:cs="宋体" w:hint="eastAsia"/>
          <w:sz w:val="24"/>
        </w:rPr>
        <w:t>标的按现状转让，具体以现场实物为准。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 w:cs="Arial Unicode MS"/>
          <w:sz w:val="24"/>
        </w:rPr>
      </w:pPr>
      <w:r w:rsidRPr="001D7B5D">
        <w:rPr>
          <w:rFonts w:hint="eastAsia"/>
          <w:sz w:val="24"/>
        </w:rPr>
        <w:t>该标的资料和现状在挂牌期内均已向各意向竞买人进行了公开展示，</w:t>
      </w:r>
      <w:r w:rsidR="00C97A11">
        <w:rPr>
          <w:rFonts w:hint="eastAsia"/>
          <w:sz w:val="24"/>
        </w:rPr>
        <w:t>乙</w:t>
      </w:r>
      <w:r w:rsidRPr="001D7B5D">
        <w:rPr>
          <w:rFonts w:hint="eastAsia"/>
          <w:sz w:val="24"/>
        </w:rPr>
        <w:t>方在了解情况并经过实地考察该标的后参与竞买，最终以人民币</w:t>
      </w:r>
      <w:r w:rsidRPr="001D7B5D">
        <w:rPr>
          <w:rFonts w:ascii="宋体" w:hAnsi="宋体" w:hint="eastAsia"/>
          <w:sz w:val="24"/>
          <w:u w:val="single"/>
        </w:rPr>
        <w:t xml:space="preserve"> </w:t>
      </w:r>
      <w:r w:rsidR="007A0308" w:rsidRPr="007A0308">
        <w:rPr>
          <w:rFonts w:ascii="宋体" w:hAnsi="宋体" w:hint="eastAsia"/>
          <w:szCs w:val="21"/>
          <w:u w:val="single"/>
        </w:rPr>
        <w:t xml:space="preserve"> </w:t>
      </w:r>
      <w:r w:rsidR="00C610E6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="00F068EC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="00C610E6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C97A11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C610E6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F068EC">
        <w:rPr>
          <w:rFonts w:ascii="宋体" w:hAnsi="宋体" w:cs="宋体" w:hint="eastAsia"/>
          <w:kern w:val="0"/>
          <w:sz w:val="24"/>
        </w:rPr>
        <w:t>元</w:t>
      </w:r>
      <w:proofErr w:type="gramStart"/>
      <w:r w:rsidRPr="00F068EC">
        <w:rPr>
          <w:rFonts w:ascii="宋体" w:hAnsi="宋体" w:cs="宋体" w:hint="eastAsia"/>
          <w:kern w:val="0"/>
          <w:sz w:val="24"/>
        </w:rPr>
        <w:t>整</w:t>
      </w:r>
      <w:r w:rsidRPr="001D7B5D">
        <w:rPr>
          <w:rFonts w:hint="eastAsia"/>
          <w:sz w:val="24"/>
        </w:rPr>
        <w:t>成功竞</w:t>
      </w:r>
      <w:proofErr w:type="gramEnd"/>
      <w:r w:rsidRPr="001D7B5D">
        <w:rPr>
          <w:rFonts w:hint="eastAsia"/>
          <w:sz w:val="24"/>
        </w:rPr>
        <w:t>得。本次成交标的按现状由</w:t>
      </w:r>
      <w:r w:rsidR="00C97A11">
        <w:rPr>
          <w:rFonts w:hint="eastAsia"/>
          <w:sz w:val="24"/>
        </w:rPr>
        <w:t>乙</w:t>
      </w:r>
      <w:r w:rsidRPr="001D7B5D">
        <w:rPr>
          <w:rFonts w:hint="eastAsia"/>
          <w:sz w:val="24"/>
        </w:rPr>
        <w:t>方自行</w:t>
      </w:r>
      <w:r w:rsidR="00331107">
        <w:rPr>
          <w:rFonts w:hint="eastAsia"/>
          <w:sz w:val="24"/>
        </w:rPr>
        <w:t>搬迁</w:t>
      </w:r>
      <w:r w:rsidRPr="001D7B5D">
        <w:rPr>
          <w:rFonts w:hint="eastAsia"/>
          <w:sz w:val="24"/>
        </w:rPr>
        <w:t>，搬迁过程产生的一切费用</w:t>
      </w:r>
      <w:r w:rsidR="00C97A11">
        <w:rPr>
          <w:rFonts w:hint="eastAsia"/>
          <w:sz w:val="24"/>
        </w:rPr>
        <w:t>及损失</w:t>
      </w:r>
      <w:r w:rsidRPr="001D7B5D">
        <w:rPr>
          <w:rFonts w:hint="eastAsia"/>
          <w:sz w:val="24"/>
        </w:rPr>
        <w:t>由受让方自行承担。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二</w:t>
      </w:r>
      <w:r w:rsidRPr="001D7B5D">
        <w:rPr>
          <w:rFonts w:ascii="宋体" w:hAnsi="宋体" w:hint="eastAsia"/>
          <w:b/>
          <w:bCs/>
          <w:sz w:val="24"/>
        </w:rPr>
        <w:t>、搬迁日期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从</w:t>
      </w:r>
      <w:r w:rsidRPr="001D7B5D">
        <w:rPr>
          <w:rFonts w:ascii="宋体" w:hAnsi="宋体" w:hint="eastAsia"/>
          <w:sz w:val="24"/>
          <w:u w:val="single"/>
        </w:rPr>
        <w:t xml:space="preserve">      </w:t>
      </w:r>
      <w:r w:rsidRPr="001D7B5D">
        <w:rPr>
          <w:rFonts w:ascii="宋体" w:hAnsi="宋体" w:hint="eastAsia"/>
          <w:sz w:val="24"/>
        </w:rPr>
        <w:t>年</w:t>
      </w:r>
      <w:r w:rsidRPr="001D7B5D">
        <w:rPr>
          <w:rFonts w:ascii="宋体" w:hAnsi="宋体" w:hint="eastAsia"/>
          <w:sz w:val="24"/>
          <w:u w:val="single"/>
        </w:rPr>
        <w:t xml:space="preserve">   </w:t>
      </w:r>
      <w:r w:rsidRPr="001D7B5D">
        <w:rPr>
          <w:rFonts w:ascii="宋体" w:hAnsi="宋体" w:hint="eastAsia"/>
          <w:sz w:val="24"/>
        </w:rPr>
        <w:t>月</w:t>
      </w:r>
      <w:r w:rsidRPr="001D7B5D">
        <w:rPr>
          <w:rFonts w:ascii="宋体" w:hAnsi="宋体" w:hint="eastAsia"/>
          <w:sz w:val="24"/>
          <w:u w:val="single"/>
        </w:rPr>
        <w:t xml:space="preserve">   </w:t>
      </w:r>
      <w:r w:rsidRPr="001D7B5D">
        <w:rPr>
          <w:rFonts w:ascii="宋体" w:hAnsi="宋体" w:hint="eastAsia"/>
          <w:sz w:val="24"/>
        </w:rPr>
        <w:t>日至</w:t>
      </w:r>
      <w:r w:rsidRPr="001D7B5D">
        <w:rPr>
          <w:rFonts w:ascii="宋体" w:hAnsi="宋体" w:hint="eastAsia"/>
          <w:sz w:val="24"/>
          <w:u w:val="single"/>
        </w:rPr>
        <w:t xml:space="preserve">      </w:t>
      </w:r>
      <w:r w:rsidRPr="001D7B5D">
        <w:rPr>
          <w:rFonts w:ascii="宋体" w:hAnsi="宋体" w:hint="eastAsia"/>
          <w:sz w:val="24"/>
        </w:rPr>
        <w:t>年</w:t>
      </w:r>
      <w:r w:rsidRPr="001D7B5D">
        <w:rPr>
          <w:rFonts w:ascii="宋体" w:hAnsi="宋体" w:hint="eastAsia"/>
          <w:sz w:val="24"/>
          <w:u w:val="single"/>
        </w:rPr>
        <w:t xml:space="preserve">  </w:t>
      </w:r>
      <w:r w:rsidRPr="001D7B5D">
        <w:rPr>
          <w:rFonts w:ascii="宋体" w:hAnsi="宋体" w:hint="eastAsia"/>
          <w:sz w:val="24"/>
        </w:rPr>
        <w:t>月</w:t>
      </w:r>
      <w:r w:rsidRPr="001D7B5D">
        <w:rPr>
          <w:rFonts w:ascii="宋体" w:hAnsi="宋体" w:hint="eastAsia"/>
          <w:sz w:val="24"/>
          <w:u w:val="single"/>
        </w:rPr>
        <w:t xml:space="preserve">   </w:t>
      </w:r>
      <w:r w:rsidRPr="001D7B5D">
        <w:rPr>
          <w:rFonts w:ascii="宋体" w:hAnsi="宋体" w:hint="eastAsia"/>
          <w:sz w:val="24"/>
        </w:rPr>
        <w:t>日止。（共</w:t>
      </w:r>
      <w:r w:rsidR="004354B3">
        <w:rPr>
          <w:rFonts w:ascii="宋体" w:hAnsi="宋体" w:hint="eastAsia"/>
          <w:sz w:val="24"/>
          <w:u w:val="single"/>
        </w:rPr>
        <w:t xml:space="preserve"> </w:t>
      </w:r>
      <w:r w:rsidR="00BD688A">
        <w:rPr>
          <w:rFonts w:ascii="宋体" w:hAnsi="宋体" w:hint="eastAsia"/>
          <w:sz w:val="24"/>
          <w:u w:val="single"/>
        </w:rPr>
        <w:t>7</w:t>
      </w:r>
      <w:r w:rsidRPr="001D7B5D">
        <w:rPr>
          <w:rFonts w:ascii="宋体" w:hAnsi="宋体" w:hint="eastAsia"/>
          <w:sz w:val="24"/>
          <w:u w:val="single"/>
        </w:rPr>
        <w:t>个</w:t>
      </w:r>
      <w:r w:rsidR="00331107">
        <w:rPr>
          <w:rFonts w:ascii="宋体" w:hAnsi="宋体" w:hint="eastAsia"/>
          <w:sz w:val="24"/>
          <w:u w:val="single"/>
        </w:rPr>
        <w:t>工作日</w:t>
      </w:r>
      <w:r w:rsidRPr="001D7B5D">
        <w:rPr>
          <w:rFonts w:ascii="宋体" w:hAnsi="宋体" w:hint="eastAsia"/>
          <w:sz w:val="24"/>
        </w:rPr>
        <w:t>）</w:t>
      </w:r>
    </w:p>
    <w:p w:rsidR="00C46051" w:rsidRPr="001D7B5D" w:rsidRDefault="00C46051" w:rsidP="00F068EC">
      <w:pPr>
        <w:spacing w:line="580" w:lineRule="exact"/>
        <w:ind w:firstLineChars="200" w:firstLine="482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三、相关规定</w:t>
      </w:r>
    </w:p>
    <w:p w:rsidR="00C46051" w:rsidRPr="001D7B5D" w:rsidRDefault="00C46051" w:rsidP="00C46051">
      <w:pPr>
        <w:spacing w:line="580" w:lineRule="exact"/>
        <w:ind w:firstLine="57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1、在对成交标的搬迁前，</w:t>
      </w:r>
      <w:r w:rsidR="008F3A15">
        <w:rPr>
          <w:rFonts w:ascii="宋体" w:hAnsi="宋体" w:hint="eastAsia"/>
          <w:sz w:val="24"/>
        </w:rPr>
        <w:t>乙方在报名时</w:t>
      </w:r>
      <w:r w:rsidR="008F3A15" w:rsidRPr="008F3A15">
        <w:rPr>
          <w:rFonts w:ascii="宋体" w:hAnsi="宋体" w:hint="eastAsia"/>
          <w:sz w:val="24"/>
        </w:rPr>
        <w:t>向广西联合产权交易所交纳</w:t>
      </w:r>
      <w:r w:rsidR="008F3A15">
        <w:rPr>
          <w:rFonts w:ascii="宋体" w:hAnsi="宋体" w:hint="eastAsia"/>
          <w:sz w:val="24"/>
        </w:rPr>
        <w:t>的</w:t>
      </w:r>
      <w:r w:rsidR="008F3A15" w:rsidRPr="008F3A15">
        <w:rPr>
          <w:rFonts w:ascii="宋体" w:hAnsi="宋体" w:hint="eastAsia"/>
          <w:sz w:val="24"/>
        </w:rPr>
        <w:t>保证金人民币</w:t>
      </w:r>
      <w:r w:rsidR="008F3A15" w:rsidRPr="008F3A15">
        <w:rPr>
          <w:rFonts w:ascii="宋体" w:hAnsi="宋体" w:hint="eastAsia"/>
          <w:sz w:val="24"/>
          <w:u w:val="single"/>
        </w:rPr>
        <w:t>捌拾万元整</w:t>
      </w:r>
      <w:r w:rsidR="008F3A15" w:rsidRPr="008F3A15">
        <w:rPr>
          <w:rFonts w:ascii="宋体" w:hAnsi="宋体" w:hint="eastAsia"/>
          <w:sz w:val="24"/>
        </w:rPr>
        <w:t>元转为搬迁押金</w:t>
      </w:r>
      <w:r w:rsidR="00BD1412">
        <w:rPr>
          <w:rFonts w:ascii="宋体" w:hAnsi="宋体" w:hint="eastAsia"/>
          <w:sz w:val="24"/>
        </w:rPr>
        <w:t>，</w:t>
      </w:r>
      <w:r w:rsidRPr="001D7B5D">
        <w:rPr>
          <w:rFonts w:ascii="宋体" w:hAnsi="宋体" w:hint="eastAsia"/>
          <w:sz w:val="24"/>
        </w:rPr>
        <w:t>搬迁押金作为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方按期搬迁及遵守搬迁协议有关规定的押金。</w:t>
      </w:r>
    </w:p>
    <w:p w:rsidR="00C46051" w:rsidRPr="001D7B5D" w:rsidRDefault="00C46051" w:rsidP="00C46051">
      <w:pPr>
        <w:spacing w:line="580" w:lineRule="exact"/>
        <w:ind w:firstLine="57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2、甲方接到乙方下达的搬迁通知书后方可准予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方实施搬迁工作。安全措施及所需费用由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方自行负责。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3、在搬迁过程中，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方如需使其他辅助设施，应向甲方申请，经批准后方可使用。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4、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方在搬迁过程中必须落实相关安全管理、安全操作规程的要求，并严格执行，</w:t>
      </w:r>
      <w:r w:rsidRPr="001D7B5D">
        <w:rPr>
          <w:rFonts w:ascii="宋体" w:hAnsi="宋体" w:hint="eastAsia"/>
          <w:sz w:val="24"/>
        </w:rPr>
        <w:lastRenderedPageBreak/>
        <w:t>对搬迁人员进行规范严格的安全教育，严禁违章作业，否则造成的任何损失均由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方承担。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5、搬迁场地内严禁吸烟、明火或携带易燃、易爆、易污染物品进入，否则造成的任何损失均由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方承担。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6、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方在搬迁过程中服从甲方或乙方派出代表的监督管理，不得乱拆乱拿非自己所购买的物品，如对搬迁物有争议，按交易所的工作人员指定为准。</w:t>
      </w:r>
    </w:p>
    <w:p w:rsidR="00C46051" w:rsidRPr="001D7B5D" w:rsidRDefault="00C46051" w:rsidP="00C46051">
      <w:pPr>
        <w:spacing w:line="580" w:lineRule="exact"/>
        <w:ind w:firstLine="57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7、搬迁设备需要置留甲方场内的，由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方与甲方自行协商其存放地点和安全保卫事宜。</w:t>
      </w:r>
    </w:p>
    <w:p w:rsidR="00C46051" w:rsidRDefault="00C46051" w:rsidP="00C46051">
      <w:pPr>
        <w:spacing w:line="580" w:lineRule="exact"/>
        <w:ind w:firstLine="57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8、本次设备搬迁作业时所产生的任何垃圾均由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方负责清理，并保持搬迁现场的整洁，否则，搬迁押金不予退回。</w:t>
      </w:r>
    </w:p>
    <w:p w:rsidR="00754094" w:rsidRPr="00754094" w:rsidRDefault="00754094" w:rsidP="00754094">
      <w:pPr>
        <w:spacing w:line="580" w:lineRule="exact"/>
        <w:ind w:firstLine="57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9、搬迁完毕，乙方凭甲方出具的搬迁完毕证明给予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方办理搬迁押金的退还手续。</w:t>
      </w:r>
    </w:p>
    <w:p w:rsidR="004D7ABC" w:rsidRPr="002E588C" w:rsidRDefault="00754094" w:rsidP="002E588C">
      <w:pPr>
        <w:spacing w:line="580" w:lineRule="exact"/>
        <w:ind w:firstLine="570"/>
        <w:rPr>
          <w:sz w:val="24"/>
        </w:rPr>
      </w:pPr>
      <w:r>
        <w:rPr>
          <w:rFonts w:ascii="宋体" w:hAnsi="宋体" w:hint="eastAsia"/>
          <w:sz w:val="24"/>
        </w:rPr>
        <w:t>10</w:t>
      </w:r>
      <w:r w:rsidR="00C46051" w:rsidRPr="002E588C">
        <w:rPr>
          <w:rFonts w:ascii="宋体" w:hAnsi="宋体" w:hint="eastAsia"/>
          <w:sz w:val="24"/>
        </w:rPr>
        <w:t>、</w:t>
      </w:r>
      <w:r w:rsidR="004D7ABC" w:rsidRPr="002E588C">
        <w:rPr>
          <w:sz w:val="24"/>
        </w:rPr>
        <w:t>如因客观原因未能按时完成</w:t>
      </w:r>
      <w:r w:rsidR="002E588C">
        <w:rPr>
          <w:sz w:val="24"/>
        </w:rPr>
        <w:t>搬迁</w:t>
      </w:r>
      <w:r w:rsidR="004D7ABC" w:rsidRPr="002E588C">
        <w:rPr>
          <w:sz w:val="24"/>
        </w:rPr>
        <w:t>的，由</w:t>
      </w:r>
      <w:r w:rsidR="002E588C">
        <w:rPr>
          <w:rFonts w:hint="eastAsia"/>
          <w:sz w:val="24"/>
        </w:rPr>
        <w:t>受让方</w:t>
      </w:r>
      <w:r w:rsidR="004D7ABC" w:rsidRPr="002E588C">
        <w:rPr>
          <w:sz w:val="24"/>
        </w:rPr>
        <w:t>提出书面延期</w:t>
      </w:r>
      <w:r w:rsidR="002E588C">
        <w:rPr>
          <w:sz w:val="24"/>
        </w:rPr>
        <w:t>搬迁</w:t>
      </w:r>
      <w:r w:rsidR="004D7ABC" w:rsidRPr="002E588C">
        <w:rPr>
          <w:sz w:val="24"/>
        </w:rPr>
        <w:t>申请，经甲方同意后，双方商定延期期限，但产生的费用由乙方支付。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 xml:space="preserve">　　四、争议处理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bCs/>
          <w:sz w:val="24"/>
        </w:rPr>
      </w:pPr>
      <w:r w:rsidRPr="001D7B5D">
        <w:rPr>
          <w:rFonts w:ascii="宋体" w:hAnsi="宋体" w:hint="eastAsia"/>
          <w:bCs/>
          <w:sz w:val="24"/>
        </w:rPr>
        <w:t>在本合同履行过程中，若发生争议，经协商无效时，当事人可以向乙方所在地人民法院起诉。</w:t>
      </w:r>
    </w:p>
    <w:p w:rsidR="00C46051" w:rsidRPr="001D7B5D" w:rsidRDefault="00C46051" w:rsidP="00F068EC">
      <w:pPr>
        <w:spacing w:line="580" w:lineRule="exact"/>
        <w:ind w:firstLineChars="200" w:firstLine="482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五、违约责任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1、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方在规定的期限内没能搬迁完毕的，每逾期一日，按本次成交金额的20%处罚（在所交付的</w:t>
      </w:r>
      <w:r w:rsidR="00331107">
        <w:rPr>
          <w:rFonts w:ascii="宋体" w:hAnsi="宋体" w:hint="eastAsia"/>
          <w:sz w:val="24"/>
        </w:rPr>
        <w:t>搬迁</w:t>
      </w:r>
      <w:r w:rsidRPr="001D7B5D">
        <w:rPr>
          <w:rFonts w:ascii="宋体" w:hAnsi="宋体" w:hint="eastAsia"/>
          <w:sz w:val="24"/>
        </w:rPr>
        <w:t>押金内扣罚），超过3日仍未能搬迁完毕的，所交付的</w:t>
      </w:r>
      <w:r w:rsidR="00331107">
        <w:rPr>
          <w:rFonts w:ascii="宋体" w:hAnsi="宋体" w:hint="eastAsia"/>
          <w:sz w:val="24"/>
        </w:rPr>
        <w:t>搬迁</w:t>
      </w:r>
      <w:r w:rsidRPr="001D7B5D">
        <w:rPr>
          <w:rFonts w:ascii="宋体" w:hAnsi="宋体" w:hint="eastAsia"/>
          <w:sz w:val="24"/>
        </w:rPr>
        <w:t>押金不予退回，未搬迁完的物资由甲方另行处理。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2、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方在搬迁过程中违章、违规操作引发的事故，甲方、乙方不承担任何责任，所造成的一切损失，由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方完全负责。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3、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方在搬迁过程中，不允许乱</w:t>
      </w:r>
      <w:proofErr w:type="gramStart"/>
      <w:r w:rsidRPr="001D7B5D">
        <w:rPr>
          <w:rFonts w:ascii="宋体" w:hAnsi="宋体" w:hint="eastAsia"/>
          <w:sz w:val="24"/>
        </w:rPr>
        <w:t>搬拆非</w:t>
      </w:r>
      <w:proofErr w:type="gramEnd"/>
      <w:r w:rsidRPr="001D7B5D">
        <w:rPr>
          <w:rFonts w:ascii="宋体" w:hAnsi="宋体" w:hint="eastAsia"/>
          <w:sz w:val="24"/>
        </w:rPr>
        <w:t>自己所购买的设备及其他物资，否则，按所乱</w:t>
      </w:r>
      <w:proofErr w:type="gramStart"/>
      <w:r w:rsidRPr="001D7B5D">
        <w:rPr>
          <w:rFonts w:ascii="宋体" w:hAnsi="宋体" w:hint="eastAsia"/>
          <w:sz w:val="24"/>
        </w:rPr>
        <w:t>搬拆设备</w:t>
      </w:r>
      <w:proofErr w:type="gramEnd"/>
      <w:r w:rsidRPr="001D7B5D">
        <w:rPr>
          <w:rFonts w:ascii="宋体" w:hAnsi="宋体" w:hint="eastAsia"/>
          <w:sz w:val="24"/>
        </w:rPr>
        <w:t>及物资价格的200%～300%承担赔偿责任，情节严重的，没收设备</w:t>
      </w:r>
      <w:r w:rsidR="00331107">
        <w:rPr>
          <w:rFonts w:ascii="宋体" w:hAnsi="宋体" w:hint="eastAsia"/>
          <w:sz w:val="24"/>
        </w:rPr>
        <w:t>搬迁</w:t>
      </w:r>
      <w:r w:rsidRPr="001D7B5D">
        <w:rPr>
          <w:rFonts w:ascii="宋体" w:hAnsi="宋体" w:hint="eastAsia"/>
          <w:sz w:val="24"/>
        </w:rPr>
        <w:t>押金，终止搬迁协议，所造成损失由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方自行承担。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lastRenderedPageBreak/>
        <w:t xml:space="preserve">　　六、其他说明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１、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方应在正常上班时间内进行搬迁，如需加班加点的，必须支付监管方人员相应的加班费，具体事宜大家另行协商。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 xml:space="preserve">　　2、为便于</w:t>
      </w:r>
      <w:r w:rsidR="00C97A11">
        <w:rPr>
          <w:rFonts w:ascii="宋体" w:hAnsi="宋体" w:hint="eastAsia"/>
          <w:sz w:val="24"/>
        </w:rPr>
        <w:t>乙</w:t>
      </w:r>
      <w:r w:rsidRPr="001D7B5D">
        <w:rPr>
          <w:rFonts w:ascii="宋体" w:hAnsi="宋体" w:hint="eastAsia"/>
          <w:sz w:val="24"/>
        </w:rPr>
        <w:t>方所搬迁设备的运输通行，甲、乙双方可出具相关证明予以协助。</w:t>
      </w:r>
    </w:p>
    <w:p w:rsidR="00C46051" w:rsidRPr="001D7B5D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3、</w:t>
      </w:r>
      <w:r w:rsidR="003E5FAB">
        <w:rPr>
          <w:rFonts w:ascii="宋体" w:hAnsi="宋体" w:hint="eastAsia"/>
          <w:sz w:val="24"/>
        </w:rPr>
        <w:t>双</w:t>
      </w:r>
      <w:r w:rsidRPr="001D7B5D">
        <w:rPr>
          <w:rFonts w:ascii="宋体" w:hAnsi="宋体" w:hint="eastAsia"/>
          <w:sz w:val="24"/>
        </w:rPr>
        <w:t>方须严格遵守本协议相关条款。协议未尽事宜，各方本着平等互利的原则协商解决。</w:t>
      </w:r>
    </w:p>
    <w:p w:rsidR="00C46051" w:rsidRPr="00D10D0C" w:rsidRDefault="00C46051" w:rsidP="004E5CDF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1D7B5D">
        <w:rPr>
          <w:rFonts w:ascii="宋体" w:hAnsi="宋体" w:hint="eastAsia"/>
          <w:sz w:val="24"/>
        </w:rPr>
        <w:t>4</w:t>
      </w:r>
      <w:r w:rsidR="003E5FAB">
        <w:rPr>
          <w:rFonts w:ascii="宋体" w:hAnsi="宋体" w:hint="eastAsia"/>
          <w:sz w:val="24"/>
        </w:rPr>
        <w:t>、本协议一式柒</w:t>
      </w:r>
      <w:r w:rsidRPr="001D7B5D">
        <w:rPr>
          <w:rFonts w:ascii="宋体" w:hAnsi="宋体" w:hint="eastAsia"/>
          <w:sz w:val="24"/>
        </w:rPr>
        <w:t>份，</w:t>
      </w:r>
      <w:r w:rsidR="003E5FAB">
        <w:rPr>
          <w:rFonts w:ascii="宋体" w:hAnsi="宋体" w:hint="eastAsia"/>
          <w:sz w:val="24"/>
        </w:rPr>
        <w:t>经双方代表签字后生效，甲</w:t>
      </w:r>
      <w:r w:rsidRPr="001D7B5D">
        <w:rPr>
          <w:rFonts w:ascii="宋体" w:hAnsi="宋体" w:hint="eastAsia"/>
          <w:sz w:val="24"/>
        </w:rPr>
        <w:t>方各执</w:t>
      </w:r>
      <w:r w:rsidR="003E5FAB">
        <w:rPr>
          <w:rFonts w:ascii="宋体" w:hAnsi="宋体" w:hint="eastAsia"/>
          <w:sz w:val="24"/>
        </w:rPr>
        <w:t>陆</w:t>
      </w:r>
      <w:r w:rsidRPr="001D7B5D">
        <w:rPr>
          <w:rFonts w:ascii="宋体" w:hAnsi="宋体" w:hint="eastAsia"/>
          <w:sz w:val="24"/>
        </w:rPr>
        <w:t>份</w:t>
      </w:r>
      <w:r w:rsidR="003E5FAB">
        <w:rPr>
          <w:rFonts w:ascii="宋体" w:hAnsi="宋体" w:hint="eastAsia"/>
          <w:sz w:val="24"/>
        </w:rPr>
        <w:t>，乙方执壹份</w:t>
      </w:r>
      <w:r w:rsidRPr="001D7B5D">
        <w:rPr>
          <w:rFonts w:ascii="宋体" w:hAnsi="宋体" w:hint="eastAsia"/>
          <w:sz w:val="24"/>
        </w:rPr>
        <w:t>。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甲    方：</w:t>
      </w:r>
      <w:r w:rsidR="00814412" w:rsidRPr="005810D1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</w:rPr>
        <w:t>南宁轨道交通集团有限责任公司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代表签字</w:t>
      </w:r>
      <w:r w:rsidR="003E5FAB">
        <w:rPr>
          <w:rFonts w:ascii="宋体" w:hAnsi="宋体" w:hint="eastAsia"/>
          <w:b/>
          <w:bCs/>
          <w:sz w:val="24"/>
        </w:rPr>
        <w:t>（盖章）</w:t>
      </w:r>
      <w:r w:rsidRPr="001D7B5D">
        <w:rPr>
          <w:rFonts w:ascii="宋体" w:hAnsi="宋体" w:hint="eastAsia"/>
          <w:b/>
          <w:bCs/>
          <w:sz w:val="24"/>
        </w:rPr>
        <w:t>：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电话号码：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</w:p>
    <w:p w:rsidR="00C46051" w:rsidRPr="001D7B5D" w:rsidRDefault="00C97A11" w:rsidP="00C46051">
      <w:pPr>
        <w:spacing w:line="5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乙</w:t>
      </w:r>
      <w:r w:rsidR="00C46051" w:rsidRPr="001D7B5D">
        <w:rPr>
          <w:rFonts w:ascii="宋体" w:hAnsi="宋体" w:hint="eastAsia"/>
          <w:b/>
          <w:bCs/>
          <w:sz w:val="24"/>
        </w:rPr>
        <w:t xml:space="preserve">    方： </w:t>
      </w: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代表签字</w:t>
      </w:r>
      <w:r w:rsidR="003E5FAB">
        <w:rPr>
          <w:rFonts w:ascii="宋体" w:hAnsi="宋体" w:hint="eastAsia"/>
          <w:b/>
          <w:bCs/>
          <w:sz w:val="24"/>
        </w:rPr>
        <w:t>（盖章）</w:t>
      </w:r>
      <w:r w:rsidRPr="001D7B5D">
        <w:rPr>
          <w:rFonts w:ascii="宋体" w:hAnsi="宋体" w:hint="eastAsia"/>
          <w:b/>
          <w:bCs/>
          <w:sz w:val="24"/>
        </w:rPr>
        <w:t>：</w:t>
      </w:r>
    </w:p>
    <w:p w:rsidR="00C46051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>电话号码：</w:t>
      </w:r>
    </w:p>
    <w:p w:rsidR="00D10D0C" w:rsidRPr="001D7B5D" w:rsidRDefault="00D10D0C" w:rsidP="00C46051">
      <w:pPr>
        <w:spacing w:line="580" w:lineRule="exact"/>
        <w:rPr>
          <w:rFonts w:ascii="宋体" w:hAnsi="宋体"/>
          <w:b/>
          <w:bCs/>
          <w:sz w:val="24"/>
        </w:rPr>
      </w:pPr>
    </w:p>
    <w:p w:rsidR="00C46051" w:rsidRPr="001D7B5D" w:rsidRDefault="00C46051" w:rsidP="00C46051">
      <w:pPr>
        <w:spacing w:line="580" w:lineRule="exact"/>
        <w:rPr>
          <w:rFonts w:ascii="宋体" w:hAnsi="宋体"/>
          <w:b/>
          <w:bCs/>
          <w:sz w:val="24"/>
        </w:rPr>
      </w:pPr>
      <w:r w:rsidRPr="001D7B5D">
        <w:rPr>
          <w:rFonts w:ascii="宋体" w:hAnsi="宋体" w:hint="eastAsia"/>
          <w:b/>
          <w:bCs/>
          <w:sz w:val="24"/>
        </w:rPr>
        <w:t xml:space="preserve">签订日期：            年   月　 日 </w:t>
      </w:r>
    </w:p>
    <w:p w:rsidR="00C46051" w:rsidRPr="001D7B5D" w:rsidRDefault="00C46051" w:rsidP="00C46051">
      <w:pPr>
        <w:rPr>
          <w:szCs w:val="28"/>
        </w:rPr>
      </w:pPr>
    </w:p>
    <w:p w:rsidR="00E422E0" w:rsidRPr="001D7B5D" w:rsidRDefault="00E422E0" w:rsidP="007A0308">
      <w:pPr>
        <w:spacing w:line="360" w:lineRule="auto"/>
        <w:rPr>
          <w:sz w:val="28"/>
          <w:szCs w:val="28"/>
        </w:rPr>
      </w:pPr>
    </w:p>
    <w:sectPr w:rsidR="00E422E0" w:rsidRPr="001D7B5D" w:rsidSect="00340422">
      <w:footerReference w:type="even" r:id="rId8"/>
      <w:footerReference w:type="default" r:id="rId9"/>
      <w:pgSz w:w="11906" w:h="16838"/>
      <w:pgMar w:top="1418" w:right="1134" w:bottom="1134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74" w:rsidRDefault="00FB6474">
      <w:r>
        <w:separator/>
      </w:r>
    </w:p>
  </w:endnote>
  <w:endnote w:type="continuationSeparator" w:id="0">
    <w:p w:rsidR="00FB6474" w:rsidRDefault="00FB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85" w:rsidRDefault="008B3A15" w:rsidP="00CB6B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3D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D85" w:rsidRDefault="00803D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85" w:rsidRDefault="008B3A15" w:rsidP="00CB6B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3D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520">
      <w:rPr>
        <w:rStyle w:val="a6"/>
        <w:noProof/>
      </w:rPr>
      <w:t>2</w:t>
    </w:r>
    <w:r>
      <w:rPr>
        <w:rStyle w:val="a6"/>
      </w:rPr>
      <w:fldChar w:fldCharType="end"/>
    </w:r>
  </w:p>
  <w:p w:rsidR="00803D85" w:rsidRDefault="00803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74" w:rsidRDefault="00FB6474">
      <w:r>
        <w:separator/>
      </w:r>
    </w:p>
  </w:footnote>
  <w:footnote w:type="continuationSeparator" w:id="0">
    <w:p w:rsidR="00FB6474" w:rsidRDefault="00FB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BFA"/>
    <w:multiLevelType w:val="hybridMultilevel"/>
    <w:tmpl w:val="B2645514"/>
    <w:lvl w:ilvl="0" w:tplc="ECFE54C6">
      <w:start w:val="1"/>
      <w:numFmt w:val="japaneseCounting"/>
      <w:pStyle w:val="1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1DC77FA0"/>
    <w:multiLevelType w:val="hybridMultilevel"/>
    <w:tmpl w:val="19927422"/>
    <w:lvl w:ilvl="0" w:tplc="037273E8">
      <w:start w:val="1"/>
      <w:numFmt w:val="japaneseCounting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C60"/>
    <w:rsid w:val="00001F16"/>
    <w:rsid w:val="00032CB6"/>
    <w:rsid w:val="00042160"/>
    <w:rsid w:val="00046E84"/>
    <w:rsid w:val="00052653"/>
    <w:rsid w:val="00055994"/>
    <w:rsid w:val="00087F33"/>
    <w:rsid w:val="000A7FF3"/>
    <w:rsid w:val="000B0791"/>
    <w:rsid w:val="000C0360"/>
    <w:rsid w:val="000C3286"/>
    <w:rsid w:val="000D6D19"/>
    <w:rsid w:val="000E1A2E"/>
    <w:rsid w:val="000F0BF6"/>
    <w:rsid w:val="001028E3"/>
    <w:rsid w:val="00115411"/>
    <w:rsid w:val="001278F9"/>
    <w:rsid w:val="0016218D"/>
    <w:rsid w:val="0016352B"/>
    <w:rsid w:val="00165876"/>
    <w:rsid w:val="00182227"/>
    <w:rsid w:val="00183CB2"/>
    <w:rsid w:val="00186B83"/>
    <w:rsid w:val="001B2624"/>
    <w:rsid w:val="001B73D7"/>
    <w:rsid w:val="001B7989"/>
    <w:rsid w:val="001C001B"/>
    <w:rsid w:val="001D7B5D"/>
    <w:rsid w:val="001E3C39"/>
    <w:rsid w:val="00200B90"/>
    <w:rsid w:val="0021350B"/>
    <w:rsid w:val="002149F1"/>
    <w:rsid w:val="0022486B"/>
    <w:rsid w:val="002563D9"/>
    <w:rsid w:val="00256412"/>
    <w:rsid w:val="002611DD"/>
    <w:rsid w:val="002651DD"/>
    <w:rsid w:val="0026595E"/>
    <w:rsid w:val="00291C75"/>
    <w:rsid w:val="00296107"/>
    <w:rsid w:val="002962D7"/>
    <w:rsid w:val="002A3BCD"/>
    <w:rsid w:val="002B692C"/>
    <w:rsid w:val="002B7F96"/>
    <w:rsid w:val="002E588C"/>
    <w:rsid w:val="002F7E23"/>
    <w:rsid w:val="00331107"/>
    <w:rsid w:val="00334003"/>
    <w:rsid w:val="00336B5B"/>
    <w:rsid w:val="00340422"/>
    <w:rsid w:val="00345BD8"/>
    <w:rsid w:val="00345D20"/>
    <w:rsid w:val="00383E4B"/>
    <w:rsid w:val="00387774"/>
    <w:rsid w:val="003945B4"/>
    <w:rsid w:val="003A1E3B"/>
    <w:rsid w:val="003A75C4"/>
    <w:rsid w:val="003B67D8"/>
    <w:rsid w:val="003E5FAB"/>
    <w:rsid w:val="003F3394"/>
    <w:rsid w:val="003F7D20"/>
    <w:rsid w:val="00405896"/>
    <w:rsid w:val="00421287"/>
    <w:rsid w:val="004260DF"/>
    <w:rsid w:val="00433391"/>
    <w:rsid w:val="004354B3"/>
    <w:rsid w:val="004554A1"/>
    <w:rsid w:val="00484F9E"/>
    <w:rsid w:val="004A582A"/>
    <w:rsid w:val="004A58FC"/>
    <w:rsid w:val="004B7848"/>
    <w:rsid w:val="004D7ABC"/>
    <w:rsid w:val="004E5CDF"/>
    <w:rsid w:val="004F13F9"/>
    <w:rsid w:val="004F77E9"/>
    <w:rsid w:val="00501176"/>
    <w:rsid w:val="0051226E"/>
    <w:rsid w:val="00563229"/>
    <w:rsid w:val="00590D83"/>
    <w:rsid w:val="0059484E"/>
    <w:rsid w:val="005A136F"/>
    <w:rsid w:val="005A632E"/>
    <w:rsid w:val="005E09A4"/>
    <w:rsid w:val="005E1675"/>
    <w:rsid w:val="005F5D4F"/>
    <w:rsid w:val="006170B5"/>
    <w:rsid w:val="00644C96"/>
    <w:rsid w:val="006578DE"/>
    <w:rsid w:val="00666A5F"/>
    <w:rsid w:val="006974E7"/>
    <w:rsid w:val="006C47B7"/>
    <w:rsid w:val="006D5C6D"/>
    <w:rsid w:val="006E58AA"/>
    <w:rsid w:val="006F4158"/>
    <w:rsid w:val="0070373C"/>
    <w:rsid w:val="007321E3"/>
    <w:rsid w:val="0075203E"/>
    <w:rsid w:val="00754094"/>
    <w:rsid w:val="00757078"/>
    <w:rsid w:val="00757461"/>
    <w:rsid w:val="007A0308"/>
    <w:rsid w:val="007C1265"/>
    <w:rsid w:val="007C6532"/>
    <w:rsid w:val="007C69EC"/>
    <w:rsid w:val="00803D85"/>
    <w:rsid w:val="00814412"/>
    <w:rsid w:val="008351C9"/>
    <w:rsid w:val="00847520"/>
    <w:rsid w:val="00851E8E"/>
    <w:rsid w:val="00870DE3"/>
    <w:rsid w:val="00874AC3"/>
    <w:rsid w:val="008A74F1"/>
    <w:rsid w:val="008B3A15"/>
    <w:rsid w:val="008F3A15"/>
    <w:rsid w:val="008F54C2"/>
    <w:rsid w:val="00927E37"/>
    <w:rsid w:val="00962EC7"/>
    <w:rsid w:val="009A316D"/>
    <w:rsid w:val="009B1154"/>
    <w:rsid w:val="009C07C2"/>
    <w:rsid w:val="009C5685"/>
    <w:rsid w:val="009C5C11"/>
    <w:rsid w:val="009E0C42"/>
    <w:rsid w:val="00A02B97"/>
    <w:rsid w:val="00A14183"/>
    <w:rsid w:val="00A2247C"/>
    <w:rsid w:val="00A406E5"/>
    <w:rsid w:val="00A62390"/>
    <w:rsid w:val="00A81704"/>
    <w:rsid w:val="00A84F9D"/>
    <w:rsid w:val="00AA2A70"/>
    <w:rsid w:val="00AA586B"/>
    <w:rsid w:val="00AB123E"/>
    <w:rsid w:val="00AE05E3"/>
    <w:rsid w:val="00AE5EFE"/>
    <w:rsid w:val="00AF32F9"/>
    <w:rsid w:val="00B00FDB"/>
    <w:rsid w:val="00B06561"/>
    <w:rsid w:val="00B1598C"/>
    <w:rsid w:val="00B15F69"/>
    <w:rsid w:val="00B21A29"/>
    <w:rsid w:val="00B22D47"/>
    <w:rsid w:val="00B265C9"/>
    <w:rsid w:val="00B3301A"/>
    <w:rsid w:val="00B42744"/>
    <w:rsid w:val="00B44DD9"/>
    <w:rsid w:val="00B62209"/>
    <w:rsid w:val="00BA1D3E"/>
    <w:rsid w:val="00BD1090"/>
    <w:rsid w:val="00BD1412"/>
    <w:rsid w:val="00BD688A"/>
    <w:rsid w:val="00BF2C60"/>
    <w:rsid w:val="00BF4F3E"/>
    <w:rsid w:val="00C27542"/>
    <w:rsid w:val="00C46051"/>
    <w:rsid w:val="00C610E6"/>
    <w:rsid w:val="00C75529"/>
    <w:rsid w:val="00C76072"/>
    <w:rsid w:val="00C83E99"/>
    <w:rsid w:val="00C97A11"/>
    <w:rsid w:val="00CA3C7D"/>
    <w:rsid w:val="00CB0C5A"/>
    <w:rsid w:val="00CB4C5D"/>
    <w:rsid w:val="00CB5E8E"/>
    <w:rsid w:val="00CB6B51"/>
    <w:rsid w:val="00CE473C"/>
    <w:rsid w:val="00D0213E"/>
    <w:rsid w:val="00D02662"/>
    <w:rsid w:val="00D10D0C"/>
    <w:rsid w:val="00D537B1"/>
    <w:rsid w:val="00D6146F"/>
    <w:rsid w:val="00D65686"/>
    <w:rsid w:val="00D87FDE"/>
    <w:rsid w:val="00DA35C1"/>
    <w:rsid w:val="00DA7696"/>
    <w:rsid w:val="00DC1477"/>
    <w:rsid w:val="00DD6046"/>
    <w:rsid w:val="00DF3BDE"/>
    <w:rsid w:val="00DF4796"/>
    <w:rsid w:val="00E105F9"/>
    <w:rsid w:val="00E155AD"/>
    <w:rsid w:val="00E3539C"/>
    <w:rsid w:val="00E422E0"/>
    <w:rsid w:val="00E6572E"/>
    <w:rsid w:val="00E65DF1"/>
    <w:rsid w:val="00E935B3"/>
    <w:rsid w:val="00EA6E06"/>
    <w:rsid w:val="00EB6F86"/>
    <w:rsid w:val="00EC37BA"/>
    <w:rsid w:val="00ED32FE"/>
    <w:rsid w:val="00F068EC"/>
    <w:rsid w:val="00F36503"/>
    <w:rsid w:val="00F72F95"/>
    <w:rsid w:val="00F75B7C"/>
    <w:rsid w:val="00F94F77"/>
    <w:rsid w:val="00F95B80"/>
    <w:rsid w:val="00FB6474"/>
    <w:rsid w:val="00FC0A60"/>
    <w:rsid w:val="00FD0DB0"/>
    <w:rsid w:val="00FD764E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B6B51"/>
    <w:pPr>
      <w:numPr>
        <w:numId w:val="1"/>
      </w:numPr>
      <w:spacing w:before="240" w:after="240"/>
      <w:jc w:val="left"/>
      <w:outlineLvl w:val="0"/>
    </w:pPr>
    <w:rPr>
      <w:b/>
      <w:sz w:val="30"/>
      <w:szCs w:val="20"/>
    </w:rPr>
  </w:style>
  <w:style w:type="paragraph" w:styleId="2">
    <w:name w:val="heading 2"/>
    <w:basedOn w:val="a"/>
    <w:next w:val="a0"/>
    <w:qFormat/>
    <w:rsid w:val="00CB6B51"/>
    <w:pPr>
      <w:tabs>
        <w:tab w:val="left" w:pos="1080"/>
      </w:tabs>
      <w:spacing w:before="60" w:after="60"/>
      <w:outlineLvl w:val="1"/>
    </w:pPr>
    <w:rPr>
      <w:rFonts w:ascii="Arial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CB6B51"/>
    <w:pPr>
      <w:spacing w:line="360" w:lineRule="auto"/>
    </w:pPr>
    <w:rPr>
      <w:rFonts w:ascii="Arial Black" w:eastAsia="华文行楷" w:hAnsi="Arial Black"/>
      <w:b/>
      <w:spacing w:val="-4"/>
      <w:kern w:val="11"/>
      <w:sz w:val="96"/>
      <w:szCs w:val="20"/>
    </w:rPr>
  </w:style>
  <w:style w:type="paragraph" w:customStyle="1" w:styleId="085">
    <w:name w:val="样式 左侧:  0.85 厘米"/>
    <w:basedOn w:val="a"/>
    <w:rsid w:val="00CB6B51"/>
    <w:pPr>
      <w:adjustRightInd w:val="0"/>
    </w:pPr>
    <w:rPr>
      <w:sz w:val="24"/>
      <w:szCs w:val="20"/>
    </w:rPr>
  </w:style>
  <w:style w:type="paragraph" w:styleId="a0">
    <w:name w:val="Normal Indent"/>
    <w:basedOn w:val="a"/>
    <w:rsid w:val="00CB6B51"/>
    <w:pPr>
      <w:ind w:firstLineChars="200" w:firstLine="420"/>
    </w:pPr>
  </w:style>
  <w:style w:type="paragraph" w:styleId="a5">
    <w:name w:val="footer"/>
    <w:basedOn w:val="a"/>
    <w:rsid w:val="00CB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rsid w:val="00CB6B51"/>
  </w:style>
  <w:style w:type="character" w:customStyle="1" w:styleId="apple-style-span">
    <w:name w:val="apple-style-span"/>
    <w:rsid w:val="008A74F1"/>
  </w:style>
  <w:style w:type="paragraph" w:styleId="a7">
    <w:name w:val="Balloon Text"/>
    <w:basedOn w:val="a"/>
    <w:semiHidden/>
    <w:rsid w:val="00B265C9"/>
    <w:rPr>
      <w:sz w:val="18"/>
      <w:szCs w:val="18"/>
    </w:rPr>
  </w:style>
  <w:style w:type="paragraph" w:styleId="a8">
    <w:name w:val="header"/>
    <w:basedOn w:val="a"/>
    <w:link w:val="Char"/>
    <w:uiPriority w:val="99"/>
    <w:semiHidden/>
    <w:unhideWhenUsed/>
    <w:rsid w:val="004F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rsid w:val="004F77E9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rsid w:val="001278F9"/>
    <w:rPr>
      <w:b/>
      <w:kern w:val="2"/>
      <w:sz w:val="30"/>
    </w:rPr>
  </w:style>
  <w:style w:type="paragraph" w:styleId="a9">
    <w:name w:val="Date"/>
    <w:basedOn w:val="a"/>
    <w:next w:val="a"/>
    <w:link w:val="Char0"/>
    <w:uiPriority w:val="99"/>
    <w:semiHidden/>
    <w:unhideWhenUsed/>
    <w:rsid w:val="00E422E0"/>
    <w:pPr>
      <w:ind w:leftChars="2500" w:left="100"/>
    </w:pPr>
  </w:style>
  <w:style w:type="character" w:customStyle="1" w:styleId="Char0">
    <w:name w:val="日期 Char"/>
    <w:basedOn w:val="a1"/>
    <w:link w:val="a9"/>
    <w:uiPriority w:val="99"/>
    <w:semiHidden/>
    <w:rsid w:val="00E422E0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C69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7C69EC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4321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FCFE-0BE6-45CE-A0C6-2919DA2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255</Words>
  <Characters>1458</Characters>
  <Application>Microsoft Office Word</Application>
  <DocSecurity>0</DocSecurity>
  <Lines>12</Lines>
  <Paragraphs>3</Paragraphs>
  <ScaleCrop>false</ScaleCrop>
  <Company>User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广西联合产权交易所</dc:title>
  <dc:creator>www.jujumao.com</dc:creator>
  <cp:lastModifiedBy>GXCQ</cp:lastModifiedBy>
  <cp:revision>27</cp:revision>
  <cp:lastPrinted>2019-03-18T01:16:00Z</cp:lastPrinted>
  <dcterms:created xsi:type="dcterms:W3CDTF">2019-09-09T07:13:00Z</dcterms:created>
  <dcterms:modified xsi:type="dcterms:W3CDTF">2020-02-25T02:29:00Z</dcterms:modified>
</cp:coreProperties>
</file>